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DB7B6">
      <w:pPr>
        <w:widowControl/>
        <w:spacing w:line="560" w:lineRule="exact"/>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rPr>
        <w:t>附件</w:t>
      </w:r>
      <w:r>
        <w:rPr>
          <w:rFonts w:hint="eastAsia" w:ascii="黑体" w:hAnsi="黑体" w:eastAsia="黑体" w:cs="宋体"/>
          <w:color w:val="000000"/>
          <w:kern w:val="0"/>
          <w:sz w:val="32"/>
          <w:szCs w:val="32"/>
          <w:lang w:val="en-US" w:eastAsia="zh-CN"/>
        </w:rPr>
        <w:t>1</w:t>
      </w:r>
    </w:p>
    <w:p w14:paraId="076B00AB">
      <w:pPr>
        <w:widowControl/>
        <w:spacing w:line="560" w:lineRule="exact"/>
        <w:jc w:val="center"/>
        <w:rPr>
          <w:rFonts w:ascii="方正小标宋简体" w:hAnsi="宋体" w:eastAsia="方正小标宋简体" w:cs="宋体"/>
          <w:color w:val="000000"/>
          <w:kern w:val="0"/>
          <w:sz w:val="44"/>
          <w:szCs w:val="44"/>
        </w:rPr>
      </w:pPr>
    </w:p>
    <w:p w14:paraId="627764DC">
      <w:pPr>
        <w:widowControl/>
        <w:spacing w:line="560" w:lineRule="exact"/>
        <w:jc w:val="center"/>
        <w:rPr>
          <w:rFonts w:hint="eastAsia" w:asciiTheme="majorEastAsia" w:hAnsiTheme="majorEastAsia" w:eastAsiaTheme="majorEastAsia" w:cstheme="majorEastAsia"/>
          <w:b/>
          <w:bCs/>
          <w:color w:val="000000"/>
          <w:kern w:val="0"/>
          <w:sz w:val="44"/>
          <w:szCs w:val="44"/>
        </w:rPr>
      </w:pPr>
      <w:bookmarkStart w:id="0" w:name="_GoBack"/>
      <w:r>
        <w:rPr>
          <w:rFonts w:hint="eastAsia" w:asciiTheme="majorEastAsia" w:hAnsiTheme="majorEastAsia" w:eastAsiaTheme="majorEastAsia" w:cstheme="majorEastAsia"/>
          <w:b/>
          <w:bCs/>
          <w:color w:val="000000"/>
          <w:kern w:val="0"/>
          <w:sz w:val="44"/>
          <w:szCs w:val="44"/>
        </w:rPr>
        <w:t>吉林省研究生精品示范课程和专业学位研究生教学案例验收参考指标</w:t>
      </w:r>
    </w:p>
    <w:bookmarkEnd w:id="0"/>
    <w:p w14:paraId="43FBDCF3">
      <w:pPr>
        <w:widowControl/>
        <w:spacing w:line="560" w:lineRule="exact"/>
        <w:jc w:val="center"/>
        <w:rPr>
          <w:rFonts w:ascii="楷体" w:hAnsi="楷体" w:eastAsia="楷体" w:cs="宋体"/>
          <w:color w:val="000000"/>
          <w:kern w:val="0"/>
          <w:sz w:val="32"/>
          <w:szCs w:val="32"/>
        </w:rPr>
      </w:pPr>
    </w:p>
    <w:p w14:paraId="6C7A9E7B">
      <w:pPr>
        <w:widowControl/>
        <w:spacing w:line="560" w:lineRule="exact"/>
        <w:ind w:firstLine="640" w:firstLineChars="200"/>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为加强研究生课程建设,推动优质资源共享,进一步提升研究生课程教学质量</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rPr>
        <w:t>省</w:t>
      </w:r>
      <w:r>
        <w:rPr>
          <w:rFonts w:hint="eastAsia" w:ascii="仿宋_GB2312" w:hAnsi="宋体" w:eastAsia="仿宋_GB2312" w:cs="宋体"/>
          <w:color w:val="000000"/>
          <w:kern w:val="0"/>
          <w:sz w:val="32"/>
          <w:szCs w:val="32"/>
          <w:lang w:val="en-US" w:eastAsia="zh-CN"/>
        </w:rPr>
        <w:t>级</w:t>
      </w:r>
      <w:r>
        <w:rPr>
          <w:rFonts w:hint="eastAsia" w:ascii="仿宋_GB2312" w:hAnsi="宋体" w:eastAsia="仿宋_GB2312" w:cs="宋体"/>
          <w:color w:val="000000"/>
          <w:kern w:val="0"/>
          <w:sz w:val="32"/>
          <w:szCs w:val="32"/>
        </w:rPr>
        <w:t>研究生精品示范课程和专业学位研究生教学</w:t>
      </w:r>
      <w:r>
        <w:rPr>
          <w:rFonts w:hint="eastAsia" w:ascii="仿宋_GB2312" w:hAnsi="宋体" w:eastAsia="仿宋_GB2312" w:cs="宋体"/>
          <w:color w:val="000000"/>
          <w:kern w:val="0"/>
          <w:sz w:val="32"/>
          <w:szCs w:val="32"/>
          <w:lang w:val="en-US" w:eastAsia="zh-CN"/>
        </w:rPr>
        <w:t>案例负责人，</w:t>
      </w:r>
      <w:r>
        <w:rPr>
          <w:rFonts w:ascii="仿宋_GB2312" w:hAnsi="宋体" w:eastAsia="仿宋_GB2312" w:cs="宋体"/>
          <w:color w:val="000000"/>
          <w:kern w:val="0"/>
          <w:sz w:val="32"/>
          <w:szCs w:val="32"/>
        </w:rPr>
        <w:t>在达到下述</w:t>
      </w:r>
      <w:r>
        <w:rPr>
          <w:rFonts w:hint="eastAsia" w:ascii="仿宋_GB2312" w:hAnsi="宋体" w:eastAsia="仿宋_GB2312" w:cs="宋体"/>
          <w:color w:val="000000"/>
          <w:kern w:val="0"/>
          <w:sz w:val="32"/>
          <w:szCs w:val="32"/>
        </w:rPr>
        <w:t>指标</w:t>
      </w:r>
      <w:r>
        <w:rPr>
          <w:rFonts w:ascii="仿宋_GB2312" w:hAnsi="宋体" w:eastAsia="仿宋_GB2312" w:cs="宋体"/>
          <w:color w:val="000000"/>
          <w:kern w:val="0"/>
          <w:sz w:val="32"/>
          <w:szCs w:val="32"/>
        </w:rPr>
        <w:t>后，</w:t>
      </w:r>
      <w:r>
        <w:rPr>
          <w:rFonts w:hint="eastAsia" w:ascii="仿宋_GB2312" w:hAnsi="宋体" w:eastAsia="仿宋_GB2312" w:cs="宋体"/>
          <w:color w:val="000000"/>
          <w:kern w:val="0"/>
          <w:sz w:val="32"/>
          <w:szCs w:val="32"/>
        </w:rPr>
        <w:t>可申请</w:t>
      </w:r>
      <w:r>
        <w:rPr>
          <w:rFonts w:ascii="仿宋_GB2312" w:hAnsi="宋体" w:eastAsia="仿宋_GB2312" w:cs="宋体"/>
          <w:color w:val="000000"/>
          <w:kern w:val="0"/>
          <w:sz w:val="32"/>
          <w:szCs w:val="32"/>
        </w:rPr>
        <w:t>验收</w:t>
      </w:r>
      <w:r>
        <w:rPr>
          <w:rFonts w:hint="eastAsia" w:ascii="仿宋_GB2312" w:hAnsi="宋体" w:eastAsia="仿宋_GB2312" w:cs="宋体"/>
          <w:color w:val="000000"/>
          <w:kern w:val="0"/>
          <w:sz w:val="32"/>
          <w:szCs w:val="32"/>
        </w:rPr>
        <w:t>。</w:t>
      </w:r>
    </w:p>
    <w:p w14:paraId="34B3610E">
      <w:pPr>
        <w:widowControl/>
        <w:numPr>
          <w:ilvl w:val="0"/>
          <w:numId w:val="1"/>
        </w:numPr>
        <w:spacing w:line="560" w:lineRule="exact"/>
        <w:ind w:firstLine="640" w:firstLineChars="200"/>
        <w:rPr>
          <w:rFonts w:hint="eastAsia" w:ascii="黑体" w:hAnsi="黑体" w:eastAsia="黑体" w:cs="宋体"/>
          <w:color w:val="000000"/>
          <w:kern w:val="0"/>
          <w:sz w:val="32"/>
          <w:szCs w:val="32"/>
          <w:lang w:eastAsia="zh-CN"/>
        </w:rPr>
      </w:pPr>
      <w:r>
        <w:rPr>
          <w:rFonts w:hint="eastAsia" w:ascii="黑体" w:hAnsi="黑体" w:eastAsia="黑体" w:cs="宋体"/>
          <w:color w:val="000000"/>
          <w:kern w:val="0"/>
          <w:sz w:val="32"/>
          <w:szCs w:val="32"/>
        </w:rPr>
        <w:t>研究生精品示范课程</w:t>
      </w:r>
    </w:p>
    <w:p w14:paraId="616CFCDD">
      <w:pPr>
        <w:widowControl/>
        <w:spacing w:line="560" w:lineRule="exact"/>
        <w:ind w:firstLine="640" w:firstLineChars="200"/>
        <w:rPr>
          <w:rFonts w:hint="eastAsia" w:ascii="仿宋_GB2312" w:hAnsi="黑体" w:eastAsia="仿宋_GB2312"/>
          <w:color w:val="auto"/>
          <w:sz w:val="32"/>
          <w:szCs w:val="32"/>
          <w:highlight w:val="none"/>
          <w:u w:val="none"/>
        </w:rPr>
      </w:pPr>
      <w:r>
        <w:rPr>
          <w:rFonts w:hint="eastAsia" w:ascii="仿宋_GB2312" w:hAnsi="黑体" w:eastAsia="仿宋_GB2312"/>
          <w:color w:val="auto"/>
          <w:sz w:val="32"/>
          <w:szCs w:val="32"/>
          <w:highlight w:val="none"/>
          <w:u w:val="none"/>
          <w:lang w:val="en-US" w:eastAsia="zh-CN"/>
        </w:rPr>
        <w:t>1.</w:t>
      </w:r>
      <w:r>
        <w:rPr>
          <w:rFonts w:hint="eastAsia" w:ascii="仿宋_GB2312" w:hAnsi="黑体" w:eastAsia="仿宋_GB2312"/>
          <w:color w:val="auto"/>
          <w:sz w:val="32"/>
          <w:szCs w:val="32"/>
          <w:highlight w:val="none"/>
          <w:u w:val="none"/>
        </w:rPr>
        <w:t>坚持正确政治方向和价值导向，体现新时代研究生教育改革发展要求，课程内容能够体现本专业研究生培养目标，注重基础理论与学科前沿问题结合，体现学科领域最新研究成果和发展趋势，与本科生同类或相近课程知识要有显著区别。</w:t>
      </w:r>
    </w:p>
    <w:p w14:paraId="43E39A61">
      <w:pPr>
        <w:widowControl/>
        <w:spacing w:line="560" w:lineRule="exact"/>
        <w:ind w:firstLine="640" w:firstLineChars="200"/>
        <w:rPr>
          <w:rFonts w:hint="eastAsia" w:ascii="仿宋_GB2312" w:hAnsi="黑体" w:eastAsia="仿宋_GB2312"/>
          <w:color w:val="auto"/>
          <w:sz w:val="32"/>
          <w:szCs w:val="32"/>
          <w:highlight w:val="none"/>
          <w:u w:val="none"/>
        </w:rPr>
      </w:pPr>
      <w:r>
        <w:rPr>
          <w:rFonts w:hint="eastAsia" w:ascii="仿宋_GB2312" w:hAnsi="黑体" w:eastAsia="仿宋_GB2312"/>
          <w:color w:val="auto"/>
          <w:sz w:val="32"/>
          <w:szCs w:val="32"/>
          <w:highlight w:val="none"/>
          <w:u w:val="none"/>
          <w:lang w:val="en-US" w:eastAsia="zh-CN"/>
        </w:rPr>
        <w:t>2.</w:t>
      </w:r>
      <w:r>
        <w:rPr>
          <w:rFonts w:hint="eastAsia" w:ascii="仿宋_GB2312" w:hAnsi="黑体" w:eastAsia="仿宋_GB2312"/>
          <w:color w:val="auto"/>
          <w:sz w:val="32"/>
          <w:szCs w:val="32"/>
          <w:highlight w:val="none"/>
          <w:u w:val="none"/>
        </w:rPr>
        <w:t>教学模式、教学方法先进，</w:t>
      </w:r>
      <w:r>
        <w:rPr>
          <w:rFonts w:hint="eastAsia" w:ascii="仿宋_GB2312" w:hAnsi="黑体" w:eastAsia="仿宋_GB2312"/>
          <w:color w:val="auto"/>
          <w:sz w:val="32"/>
          <w:szCs w:val="32"/>
          <w:highlight w:val="none"/>
          <w:u w:val="none"/>
          <w:lang w:eastAsia="zh-CN"/>
        </w:rPr>
        <w:t>有利于</w:t>
      </w:r>
      <w:r>
        <w:rPr>
          <w:rFonts w:hint="eastAsia" w:ascii="仿宋_GB2312" w:hAnsi="黑体" w:eastAsia="仿宋_GB2312"/>
          <w:color w:val="auto"/>
          <w:sz w:val="32"/>
          <w:szCs w:val="32"/>
          <w:highlight w:val="none"/>
          <w:u w:val="none"/>
        </w:rPr>
        <w:t>促进学生自主性、研究性、探索性学习，促进学生培养创新思维</w:t>
      </w:r>
      <w:r>
        <w:rPr>
          <w:rFonts w:hint="eastAsia" w:ascii="仿宋_GB2312" w:hAnsi="黑体" w:eastAsia="仿宋_GB2312"/>
          <w:color w:val="auto"/>
          <w:sz w:val="32"/>
          <w:szCs w:val="32"/>
          <w:highlight w:val="none"/>
          <w:u w:val="none"/>
          <w:lang w:eastAsia="zh-CN"/>
        </w:rPr>
        <w:t>，</w:t>
      </w:r>
      <w:r>
        <w:rPr>
          <w:rFonts w:hint="eastAsia" w:ascii="仿宋_GB2312" w:hAnsi="黑体" w:eastAsia="仿宋_GB2312"/>
          <w:color w:val="auto"/>
          <w:sz w:val="32"/>
          <w:szCs w:val="32"/>
          <w:highlight w:val="none"/>
          <w:u w:val="none"/>
        </w:rPr>
        <w:t>提高科研实践能力，促进学生个性发展与综合素质提高。</w:t>
      </w:r>
    </w:p>
    <w:p w14:paraId="1C04FE65">
      <w:pPr>
        <w:widowControl/>
        <w:spacing w:line="560" w:lineRule="exact"/>
        <w:ind w:firstLine="640" w:firstLineChars="200"/>
        <w:rPr>
          <w:rFonts w:hint="eastAsia" w:ascii="仿宋_GB2312" w:hAnsi="黑体" w:eastAsia="仿宋_GB2312"/>
          <w:color w:val="auto"/>
          <w:sz w:val="32"/>
          <w:szCs w:val="32"/>
          <w:highlight w:val="none"/>
          <w:u w:val="none"/>
          <w:lang w:eastAsia="zh-CN"/>
        </w:rPr>
      </w:pPr>
      <w:r>
        <w:rPr>
          <w:rFonts w:hint="eastAsia" w:ascii="仿宋_GB2312" w:hAnsi="黑体" w:eastAsia="仿宋_GB2312"/>
          <w:color w:val="auto"/>
          <w:sz w:val="32"/>
          <w:szCs w:val="32"/>
          <w:highlight w:val="none"/>
          <w:u w:val="none"/>
          <w:lang w:val="en-US" w:eastAsia="zh-CN"/>
        </w:rPr>
        <w:t>3.</w:t>
      </w:r>
      <w:r>
        <w:rPr>
          <w:rFonts w:hint="eastAsia" w:ascii="仿宋_GB2312" w:hAnsi="黑体" w:eastAsia="仿宋_GB2312"/>
          <w:color w:val="auto"/>
          <w:sz w:val="32"/>
          <w:szCs w:val="32"/>
          <w:highlight w:val="none"/>
          <w:u w:val="none"/>
        </w:rPr>
        <w:t>具有规范的课程体系，完整、规范的教学档案，包括课程简介、教学大纲、授课计划、教案或课件等；采用课程考试、课程论文、社会调研、作品设计等多种考核方式，全面检测、评价研究生的学习过程和学习效果</w:t>
      </w:r>
      <w:r>
        <w:rPr>
          <w:rFonts w:hint="eastAsia" w:ascii="仿宋_GB2312" w:hAnsi="黑体" w:eastAsia="仿宋_GB2312"/>
          <w:color w:val="auto"/>
          <w:sz w:val="32"/>
          <w:szCs w:val="32"/>
          <w:highlight w:val="none"/>
          <w:u w:val="none"/>
          <w:lang w:eastAsia="zh-CN"/>
        </w:rPr>
        <w:t>。</w:t>
      </w:r>
    </w:p>
    <w:p w14:paraId="6E770A80">
      <w:pPr>
        <w:widowControl/>
        <w:spacing w:line="560" w:lineRule="exact"/>
        <w:ind w:firstLine="640" w:firstLineChars="200"/>
        <w:rPr>
          <w:rFonts w:hint="eastAsia" w:ascii="仿宋_GB2312" w:hAnsi="黑体" w:eastAsia="仿宋_GB2312"/>
          <w:color w:val="auto"/>
          <w:sz w:val="32"/>
          <w:szCs w:val="32"/>
          <w:highlight w:val="none"/>
          <w:u w:val="none"/>
          <w:lang w:val="en-US" w:eastAsia="zh-CN"/>
        </w:rPr>
      </w:pPr>
      <w:r>
        <w:rPr>
          <w:rFonts w:hint="eastAsia" w:ascii="仿宋_GB2312" w:hAnsi="黑体" w:eastAsia="仿宋_GB2312"/>
          <w:color w:val="auto"/>
          <w:sz w:val="32"/>
          <w:szCs w:val="32"/>
          <w:highlight w:val="none"/>
          <w:u w:val="none"/>
          <w:lang w:val="en-US" w:eastAsia="zh-CN"/>
        </w:rPr>
        <w:t>4.强调以教为中心向以学为中心转变，因材施教，运用适当的数字化教学工具，有效开展课堂教学活动，训练学生问题解决能力和审辩式思维能力，提高教学质量。</w:t>
      </w:r>
    </w:p>
    <w:p w14:paraId="21684716">
      <w:pPr>
        <w:widowControl/>
        <w:numPr>
          <w:ilvl w:val="0"/>
          <w:numId w:val="0"/>
        </w:numPr>
        <w:spacing w:line="560" w:lineRule="exact"/>
        <w:ind w:firstLine="640" w:firstLineChars="200"/>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二、专业学位研究生教学案例</w:t>
      </w:r>
    </w:p>
    <w:p w14:paraId="68D1A8E6">
      <w:pPr>
        <w:pStyle w:val="8"/>
        <w:keepNext w:val="0"/>
        <w:keepLines w:val="0"/>
        <w:pageBreakBefore w:val="0"/>
        <w:widowControl w:val="0"/>
        <w:shd w:val="clear"/>
        <w:kinsoku/>
        <w:wordWrap/>
        <w:overflowPunct/>
        <w:topLinePunct w:val="0"/>
        <w:autoSpaceDE/>
        <w:autoSpaceDN/>
        <w:bidi w:val="0"/>
        <w:spacing w:before="0" w:beforeAutospacing="0" w:after="0" w:afterAutospacing="0" w:line="579" w:lineRule="exact"/>
        <w:ind w:firstLine="640" w:firstLineChars="200"/>
        <w:jc w:val="both"/>
        <w:textAlignment w:val="auto"/>
        <w:rPr>
          <w:rFonts w:ascii="仿宋_GB2312" w:eastAsia="仿宋_GB2312"/>
          <w:color w:val="auto"/>
          <w:sz w:val="32"/>
          <w:szCs w:val="32"/>
          <w:highlight w:val="none"/>
          <w:u w:val="none"/>
        </w:rPr>
      </w:pPr>
      <w:r>
        <w:rPr>
          <w:rFonts w:hint="eastAsia" w:ascii="仿宋_GB2312" w:hAnsi="黑体" w:eastAsia="仿宋_GB2312"/>
          <w:color w:val="auto"/>
          <w:sz w:val="32"/>
          <w:szCs w:val="32"/>
          <w:highlight w:val="none"/>
          <w:u w:val="none"/>
          <w:lang w:val="en-US" w:eastAsia="zh-CN"/>
        </w:rPr>
        <w:t>1.</w:t>
      </w:r>
      <w:r>
        <w:rPr>
          <w:rFonts w:hint="eastAsia" w:ascii="仿宋_GB2312" w:eastAsia="仿宋_GB2312"/>
          <w:color w:val="auto"/>
          <w:sz w:val="32"/>
          <w:szCs w:val="32"/>
          <w:highlight w:val="none"/>
          <w:u w:val="none"/>
        </w:rPr>
        <w:t>教学案例立项建设依托专业学位类别（领域）培养方案设置的课程而进行，坚持正确政治方向和价值导向，体现新时代研究生教育改革发展要求。</w:t>
      </w:r>
    </w:p>
    <w:p w14:paraId="7C006555">
      <w:pPr>
        <w:keepNext w:val="0"/>
        <w:keepLines w:val="0"/>
        <w:pageBreakBefore w:val="0"/>
        <w:widowControl w:val="0"/>
        <w:shd w:val="clear"/>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宋体" w:eastAsia="仿宋_GB2312" w:cs="宋体"/>
          <w:color w:val="auto"/>
          <w:kern w:val="0"/>
          <w:sz w:val="32"/>
          <w:szCs w:val="32"/>
          <w:highlight w:val="none"/>
          <w:u w:val="none"/>
          <w:lang w:val="en-US" w:eastAsia="zh-CN" w:bidi="ar-SA"/>
        </w:rPr>
      </w:pPr>
      <w:r>
        <w:rPr>
          <w:rFonts w:hint="eastAsia" w:ascii="仿宋_GB2312" w:hAnsi="宋体" w:eastAsia="仿宋_GB2312" w:cs="宋体"/>
          <w:color w:val="auto"/>
          <w:kern w:val="0"/>
          <w:sz w:val="32"/>
          <w:szCs w:val="32"/>
          <w:highlight w:val="none"/>
          <w:u w:val="none"/>
          <w:lang w:val="en-US" w:eastAsia="zh-CN" w:bidi="ar-SA"/>
        </w:rPr>
        <w:t>2.教学案例能体现专业学位特点，反映相关行业对专业学位研究生课程教学的需求，对研究生的专业实践具有参考性和启发性。成果适合在本专业学位课程教学中运用，并可在相关专业范围内共享。</w:t>
      </w:r>
    </w:p>
    <w:p w14:paraId="59580D6B">
      <w:pPr>
        <w:keepNext w:val="0"/>
        <w:keepLines w:val="0"/>
        <w:pageBreakBefore w:val="0"/>
        <w:widowControl w:val="0"/>
        <w:shd w:val="clear"/>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宋体" w:eastAsia="仿宋_GB2312" w:cs="宋体"/>
          <w:color w:val="auto"/>
          <w:kern w:val="0"/>
          <w:sz w:val="32"/>
          <w:szCs w:val="32"/>
          <w:highlight w:val="none"/>
          <w:u w:val="none"/>
          <w:lang w:val="en-US" w:eastAsia="zh-CN" w:bidi="ar-SA"/>
        </w:rPr>
      </w:pPr>
      <w:r>
        <w:rPr>
          <w:rFonts w:hint="eastAsia" w:ascii="仿宋_GB2312" w:hAnsi="宋体" w:eastAsia="仿宋_GB2312" w:cs="宋体"/>
          <w:color w:val="auto"/>
          <w:kern w:val="0"/>
          <w:sz w:val="32"/>
          <w:szCs w:val="32"/>
          <w:highlight w:val="none"/>
          <w:u w:val="none"/>
          <w:lang w:val="en-US" w:eastAsia="zh-CN" w:bidi="ar-SA"/>
        </w:rPr>
        <w:t>3.案例素材应来源于生产建设、研究设计、经营管理、教育教学等实践领域，体现领域内重点问题，具有代表性、客观性、先进性和创新性。</w:t>
      </w:r>
    </w:p>
    <w:p w14:paraId="465B7718">
      <w:pPr>
        <w:keepNext w:val="0"/>
        <w:keepLines w:val="0"/>
        <w:pageBreakBefore w:val="0"/>
        <w:widowControl w:val="0"/>
        <w:shd w:val="clear"/>
        <w:kinsoku/>
        <w:wordWrap/>
        <w:overflowPunct/>
        <w:topLinePunct w:val="0"/>
        <w:autoSpaceDE/>
        <w:autoSpaceDN/>
        <w:bidi w:val="0"/>
        <w:spacing w:line="579" w:lineRule="exact"/>
        <w:ind w:firstLine="640" w:firstLineChars="200"/>
        <w:textAlignment w:val="auto"/>
        <w:rPr>
          <w:rFonts w:hint="eastAsia" w:ascii="仿宋_GB2312" w:hAnsi="宋体" w:eastAsia="仿宋_GB2312" w:cs="宋体"/>
          <w:color w:val="auto"/>
          <w:kern w:val="0"/>
          <w:sz w:val="32"/>
          <w:szCs w:val="32"/>
          <w:highlight w:val="none"/>
          <w:u w:val="none"/>
          <w:lang w:val="en-US" w:eastAsia="zh-CN" w:bidi="ar-SA"/>
        </w:rPr>
      </w:pPr>
      <w:r>
        <w:rPr>
          <w:rFonts w:hint="eastAsia" w:ascii="仿宋_GB2312" w:hAnsi="宋体" w:eastAsia="仿宋_GB2312" w:cs="宋体"/>
          <w:color w:val="auto"/>
          <w:kern w:val="0"/>
          <w:sz w:val="32"/>
          <w:szCs w:val="32"/>
          <w:highlight w:val="none"/>
          <w:u w:val="none"/>
          <w:lang w:val="en-US" w:eastAsia="zh-CN" w:bidi="ar-SA"/>
        </w:rPr>
        <w:t>4.注重科学研究与教学案例相结合，理论与实践相结合，开发基于真实情境、符合案例教学要求、与国际接轨的高质量教学案例。</w:t>
      </w:r>
    </w:p>
    <w:p w14:paraId="3233B517">
      <w:pPr>
        <w:widowControl/>
        <w:numPr>
          <w:ilvl w:val="0"/>
          <w:numId w:val="0"/>
        </w:numPr>
        <w:spacing w:line="560" w:lineRule="exact"/>
        <w:ind w:firstLine="640" w:firstLineChars="200"/>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三、教学视频资料</w:t>
      </w:r>
    </w:p>
    <w:p w14:paraId="5546A4D0">
      <w:pPr>
        <w:widowControl/>
        <w:spacing w:line="560" w:lineRule="exact"/>
        <w:ind w:firstLine="640" w:firstLineChars="200"/>
        <w:rPr>
          <w:rFonts w:hint="default" w:ascii="仿宋_GB2312" w:hAnsi="宋体" w:eastAsia="仿宋_GB2312" w:cs="宋体"/>
          <w:color w:val="auto"/>
          <w:kern w:val="0"/>
          <w:sz w:val="32"/>
          <w:szCs w:val="32"/>
          <w:highlight w:val="none"/>
        </w:rPr>
      </w:pPr>
      <w:r>
        <w:rPr>
          <w:rFonts w:hint="eastAsia" w:ascii="仿宋_GB2312" w:hAnsi="黑体" w:eastAsia="仿宋_GB2312"/>
          <w:color w:val="auto"/>
          <w:sz w:val="32"/>
          <w:szCs w:val="32"/>
          <w:highlight w:val="none"/>
          <w:u w:val="none"/>
          <w:lang w:val="en-US" w:eastAsia="zh-CN"/>
        </w:rPr>
        <w:t>1.教</w:t>
      </w:r>
      <w:r>
        <w:rPr>
          <w:rFonts w:hint="eastAsia" w:ascii="仿宋_GB2312" w:hAnsi="宋体" w:eastAsia="仿宋_GB2312" w:cs="宋体"/>
          <w:color w:val="auto"/>
          <w:kern w:val="0"/>
          <w:sz w:val="32"/>
          <w:szCs w:val="32"/>
          <w:highlight w:val="none"/>
          <w:lang w:val="en-US" w:eastAsia="zh-CN"/>
        </w:rPr>
        <w:t>学视频时长45-60分钟（时长还需要根据实际情况再考虑），应涵盖</w:t>
      </w:r>
      <w:r>
        <w:rPr>
          <w:rFonts w:hint="default" w:ascii="仿宋_GB2312" w:hAnsi="宋体" w:eastAsia="仿宋_GB2312" w:cs="宋体"/>
          <w:color w:val="auto"/>
          <w:kern w:val="0"/>
          <w:sz w:val="32"/>
          <w:szCs w:val="32"/>
          <w:highlight w:val="none"/>
        </w:rPr>
        <w:t>不低于4学时的教学</w:t>
      </w:r>
      <w:r>
        <w:rPr>
          <w:rFonts w:hint="eastAsia" w:ascii="仿宋_GB2312" w:hAnsi="宋体" w:eastAsia="仿宋_GB2312" w:cs="宋体"/>
          <w:color w:val="auto"/>
          <w:kern w:val="0"/>
          <w:sz w:val="32"/>
          <w:szCs w:val="32"/>
          <w:highlight w:val="none"/>
          <w:lang w:eastAsia="zh-CN"/>
        </w:rPr>
        <w:t>内容，或</w:t>
      </w:r>
      <w:r>
        <w:rPr>
          <w:rFonts w:hint="default" w:ascii="仿宋_GB2312" w:hAnsi="宋体" w:eastAsia="仿宋_GB2312" w:cs="宋体"/>
          <w:color w:val="auto"/>
          <w:kern w:val="0"/>
          <w:sz w:val="32"/>
          <w:szCs w:val="32"/>
          <w:highlight w:val="none"/>
          <w:lang w:val="zh-CN"/>
        </w:rPr>
        <w:t>不低于</w:t>
      </w:r>
      <w:r>
        <w:rPr>
          <w:rFonts w:hint="default" w:ascii="仿宋_GB2312" w:hAnsi="宋体" w:eastAsia="仿宋_GB2312" w:cs="宋体"/>
          <w:color w:val="auto"/>
          <w:kern w:val="0"/>
          <w:sz w:val="32"/>
          <w:szCs w:val="32"/>
          <w:highlight w:val="none"/>
        </w:rPr>
        <w:t>2个案例应用的教学</w:t>
      </w:r>
      <w:r>
        <w:rPr>
          <w:rFonts w:hint="eastAsia" w:ascii="仿宋_GB2312" w:hAnsi="宋体" w:eastAsia="仿宋_GB2312" w:cs="宋体"/>
          <w:color w:val="auto"/>
          <w:kern w:val="0"/>
          <w:sz w:val="32"/>
          <w:szCs w:val="32"/>
          <w:highlight w:val="none"/>
          <w:lang w:eastAsia="zh-CN"/>
        </w:rPr>
        <w:t>内容</w:t>
      </w:r>
      <w:r>
        <w:rPr>
          <w:rFonts w:hint="default" w:ascii="仿宋_GB2312" w:hAnsi="宋体" w:eastAsia="仿宋_GB2312" w:cs="宋体"/>
          <w:color w:val="auto"/>
          <w:kern w:val="0"/>
          <w:sz w:val="32"/>
          <w:szCs w:val="32"/>
          <w:highlight w:val="none"/>
        </w:rPr>
        <w:t>。</w:t>
      </w:r>
    </w:p>
    <w:p w14:paraId="1202D48C">
      <w:pPr>
        <w:widowControl/>
        <w:spacing w:line="560" w:lineRule="exact"/>
        <w:ind w:firstLine="640" w:firstLineChars="200"/>
        <w:rPr>
          <w:rFonts w:hint="eastAsia" w:ascii="仿宋_GB2312" w:hAnsi="宋体" w:eastAsia="仿宋_GB2312" w:cs="宋体"/>
          <w:color w:val="auto"/>
          <w:kern w:val="0"/>
          <w:sz w:val="32"/>
          <w:szCs w:val="32"/>
          <w:highlight w:val="none"/>
          <w:u w:val="none"/>
          <w:lang w:val="en-US" w:eastAsia="zh-CN" w:bidi="ar-SA"/>
        </w:rPr>
      </w:pPr>
      <w:r>
        <w:rPr>
          <w:rFonts w:hint="eastAsia" w:ascii="仿宋_GB2312" w:hAnsi="宋体" w:eastAsia="仿宋_GB2312" w:cs="宋体"/>
          <w:color w:val="auto"/>
          <w:kern w:val="0"/>
          <w:sz w:val="32"/>
          <w:szCs w:val="32"/>
          <w:highlight w:val="none"/>
          <w:lang w:val="en-US" w:eastAsia="zh-CN"/>
        </w:rPr>
        <w:t>2.教学视频内容设计要依据人才培养目标，体现现代教育思想，符合</w:t>
      </w:r>
      <w:r>
        <w:rPr>
          <w:rFonts w:hint="eastAsia" w:ascii="仿宋_GB2312" w:hAnsi="宋体" w:eastAsia="仿宋_GB2312" w:cs="宋体"/>
          <w:color w:val="auto"/>
          <w:kern w:val="0"/>
          <w:sz w:val="32"/>
          <w:szCs w:val="32"/>
          <w:highlight w:val="none"/>
          <w:u w:val="none"/>
          <w:lang w:val="en-US" w:eastAsia="zh-CN" w:bidi="ar-SA"/>
        </w:rPr>
        <w:t>科学性、先进性和教育教学的规律。具有基础性、研究性、前沿性，能及时把学科最新发展成果和教改教研成果引入教学。</w:t>
      </w:r>
    </w:p>
    <w:p w14:paraId="293CCC22">
      <w:pPr>
        <w:widowControl/>
        <w:spacing w:line="560" w:lineRule="exact"/>
        <w:ind w:firstLine="640" w:firstLineChars="200"/>
        <w:rPr>
          <w:rFonts w:hint="eastAsia" w:ascii="仿宋_GB2312" w:hAnsi="宋体" w:eastAsia="仿宋_GB2312" w:cs="宋体"/>
          <w:color w:val="auto"/>
          <w:kern w:val="0"/>
          <w:sz w:val="32"/>
          <w:szCs w:val="32"/>
          <w:highlight w:val="none"/>
          <w:u w:val="none"/>
          <w:lang w:val="en-US" w:eastAsia="zh-CN" w:bidi="ar-SA"/>
        </w:rPr>
      </w:pPr>
      <w:r>
        <w:rPr>
          <w:rFonts w:hint="eastAsia" w:ascii="仿宋_GB2312" w:hAnsi="宋体" w:eastAsia="仿宋_GB2312" w:cs="宋体"/>
          <w:color w:val="auto"/>
          <w:kern w:val="0"/>
          <w:sz w:val="32"/>
          <w:szCs w:val="32"/>
          <w:highlight w:val="none"/>
          <w:u w:val="none"/>
          <w:lang w:val="en-US" w:eastAsia="zh-CN" w:bidi="ar-SA"/>
        </w:rPr>
        <w:t>3.</w:t>
      </w:r>
      <w:r>
        <w:rPr>
          <w:rFonts w:hint="eastAsia" w:ascii="仿宋_GB2312" w:hAnsi="宋体" w:eastAsia="仿宋_GB2312" w:cs="宋体"/>
          <w:color w:val="auto"/>
          <w:kern w:val="0"/>
          <w:sz w:val="32"/>
          <w:szCs w:val="32"/>
          <w:highlight w:val="none"/>
          <w:lang w:val="en-US" w:eastAsia="zh-CN"/>
        </w:rPr>
        <w:t>视频资料</w:t>
      </w:r>
      <w:r>
        <w:rPr>
          <w:rFonts w:hint="eastAsia" w:ascii="仿宋_GB2312" w:hAnsi="宋体" w:eastAsia="仿宋_GB2312" w:cs="宋体"/>
          <w:color w:val="auto"/>
          <w:kern w:val="0"/>
          <w:sz w:val="32"/>
          <w:szCs w:val="32"/>
          <w:highlight w:val="none"/>
          <w:u w:val="none"/>
          <w:lang w:val="en-US" w:eastAsia="zh-CN" w:bidi="ar-SA"/>
        </w:rPr>
        <w:t>能有效利用各种教学媒体、富有热情和感染力地对问题进行深入浅出的阐述，重点突出、思路清晰、内容娴熟、信息量大；教学内容能反映或联系学科发展的新思想、新概念、新成果，能启迪学生的思考、联想及创新思维。</w:t>
      </w:r>
    </w:p>
    <w:p w14:paraId="46DDC998">
      <w:pPr>
        <w:widowControl/>
        <w:spacing w:line="560" w:lineRule="exact"/>
        <w:ind w:firstLine="640" w:firstLineChars="200"/>
        <w:rPr>
          <w:rFonts w:hint="default" w:ascii="仿宋_GB2312" w:hAnsi="宋体" w:eastAsia="仿宋_GB2312" w:cs="宋体"/>
          <w:color w:val="auto"/>
          <w:kern w:val="0"/>
          <w:sz w:val="32"/>
          <w:szCs w:val="32"/>
          <w:highlight w:val="none"/>
          <w:u w:val="none"/>
          <w:lang w:val="en-US" w:eastAsia="zh-CN" w:bidi="ar-SA"/>
        </w:rPr>
      </w:pPr>
      <w:r>
        <w:rPr>
          <w:rFonts w:hint="eastAsia" w:ascii="仿宋_GB2312" w:hAnsi="宋体" w:eastAsia="仿宋_GB2312" w:cs="宋体"/>
          <w:color w:val="auto"/>
          <w:kern w:val="0"/>
          <w:sz w:val="32"/>
          <w:szCs w:val="32"/>
          <w:highlight w:val="none"/>
          <w:u w:val="none"/>
          <w:lang w:val="en-US" w:eastAsia="zh-CN" w:bidi="ar-SA"/>
        </w:rPr>
        <w:t>4.课程教学和教学案例应突出应用性和职业性特点，以各类别（领域）及其行业企业中的具体技术或管理活动为基础，通过场景呈现，提炼出为今后解决同类问题有价值的高质量参考实例。</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75595B-29B8-4450-ABB7-F49C80602C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script"/>
    <w:pitch w:val="default"/>
    <w:sig w:usb0="00000000" w:usb1="00000000" w:usb2="00000012" w:usb3="00000000" w:csb0="00040001" w:csb1="00000000"/>
    <w:embedRegular r:id="rId2" w:fontKey="{97701F09-DD85-4B4E-8A59-F1AF5F93701A}"/>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3" w:fontKey="{FBA36CD4-12D1-4090-B3A0-AA97EDE7B423}"/>
  </w:font>
  <w:font w:name="仿宋_GB2312">
    <w:altName w:val="仿宋"/>
    <w:panose1 w:val="02010609030101010101"/>
    <w:charset w:val="86"/>
    <w:family w:val="modern"/>
    <w:pitch w:val="default"/>
    <w:sig w:usb0="00000000" w:usb1="00000000" w:usb2="00000000" w:usb3="00000000" w:csb0="00040000" w:csb1="00000000"/>
    <w:embedRegular r:id="rId4" w:fontKey="{B79EEE25-C187-421F-AD7C-155737F4775C}"/>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8341295"/>
      <w:docPartObj>
        <w:docPartGallery w:val="autotext"/>
      </w:docPartObj>
    </w:sdtPr>
    <w:sdtContent>
      <w:p w14:paraId="377BD5D4">
        <w:pPr>
          <w:pStyle w:val="2"/>
          <w:jc w:val="center"/>
        </w:pPr>
        <w:r>
          <w:fldChar w:fldCharType="begin"/>
        </w:r>
        <w:r>
          <w:instrText xml:space="preserve">PAGE   \* MERGEFORMAT</w:instrText>
        </w:r>
        <w:r>
          <w:fldChar w:fldCharType="separate"/>
        </w:r>
        <w:r>
          <w:rPr>
            <w:lang w:val="zh-CN"/>
          </w:rPr>
          <w:t>2</w:t>
        </w:r>
        <w:r>
          <w:fldChar w:fldCharType="end"/>
        </w:r>
      </w:p>
    </w:sdtContent>
  </w:sdt>
  <w:p w14:paraId="122DA159">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F0E5BA"/>
    <w:multiLevelType w:val="singleLevel"/>
    <w:tmpl w:val="63F0E5B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mMGZmYTA2YjVmZjhkNzJjOTcyYTI2MjFlNGQwYmQifQ=="/>
  </w:docVars>
  <w:rsids>
    <w:rsidRoot w:val="00E82E0B"/>
    <w:rsid w:val="00006E79"/>
    <w:rsid w:val="000850F3"/>
    <w:rsid w:val="000D64C2"/>
    <w:rsid w:val="00100E7F"/>
    <w:rsid w:val="00121B5B"/>
    <w:rsid w:val="00185C00"/>
    <w:rsid w:val="00192952"/>
    <w:rsid w:val="001A2211"/>
    <w:rsid w:val="001E5B23"/>
    <w:rsid w:val="00203460"/>
    <w:rsid w:val="00207DD9"/>
    <w:rsid w:val="00226D90"/>
    <w:rsid w:val="00243AAA"/>
    <w:rsid w:val="00253EAC"/>
    <w:rsid w:val="00267651"/>
    <w:rsid w:val="00281F7B"/>
    <w:rsid w:val="0028709A"/>
    <w:rsid w:val="002A453D"/>
    <w:rsid w:val="002B325F"/>
    <w:rsid w:val="002B7090"/>
    <w:rsid w:val="002D4E21"/>
    <w:rsid w:val="002E3136"/>
    <w:rsid w:val="003146F3"/>
    <w:rsid w:val="0033412F"/>
    <w:rsid w:val="00334802"/>
    <w:rsid w:val="0034765F"/>
    <w:rsid w:val="00360204"/>
    <w:rsid w:val="003942EB"/>
    <w:rsid w:val="003B10B7"/>
    <w:rsid w:val="003D1B83"/>
    <w:rsid w:val="00430F1D"/>
    <w:rsid w:val="00431F7A"/>
    <w:rsid w:val="0045376B"/>
    <w:rsid w:val="0047351C"/>
    <w:rsid w:val="004861E9"/>
    <w:rsid w:val="004C42CC"/>
    <w:rsid w:val="00503AD9"/>
    <w:rsid w:val="00542F47"/>
    <w:rsid w:val="00552F63"/>
    <w:rsid w:val="0055574E"/>
    <w:rsid w:val="005805AC"/>
    <w:rsid w:val="005F3468"/>
    <w:rsid w:val="0063788F"/>
    <w:rsid w:val="006B2321"/>
    <w:rsid w:val="006F31DD"/>
    <w:rsid w:val="007076E4"/>
    <w:rsid w:val="00734D9D"/>
    <w:rsid w:val="00736A24"/>
    <w:rsid w:val="007752C3"/>
    <w:rsid w:val="007774C6"/>
    <w:rsid w:val="007A1FBA"/>
    <w:rsid w:val="00902E64"/>
    <w:rsid w:val="009422C6"/>
    <w:rsid w:val="009C182A"/>
    <w:rsid w:val="009C66EB"/>
    <w:rsid w:val="00A67FE9"/>
    <w:rsid w:val="00A96DF1"/>
    <w:rsid w:val="00AB6CD2"/>
    <w:rsid w:val="00AF6A63"/>
    <w:rsid w:val="00B05FF3"/>
    <w:rsid w:val="00B13A88"/>
    <w:rsid w:val="00B33648"/>
    <w:rsid w:val="00B94C52"/>
    <w:rsid w:val="00B9711F"/>
    <w:rsid w:val="00BA5990"/>
    <w:rsid w:val="00BD1714"/>
    <w:rsid w:val="00C10BDD"/>
    <w:rsid w:val="00C2598A"/>
    <w:rsid w:val="00C442CC"/>
    <w:rsid w:val="00CD6471"/>
    <w:rsid w:val="00D61A78"/>
    <w:rsid w:val="00D655B3"/>
    <w:rsid w:val="00D91862"/>
    <w:rsid w:val="00DA72AE"/>
    <w:rsid w:val="00DE1942"/>
    <w:rsid w:val="00E33DF2"/>
    <w:rsid w:val="00E5099B"/>
    <w:rsid w:val="00E6095F"/>
    <w:rsid w:val="00E82E0B"/>
    <w:rsid w:val="00EA4374"/>
    <w:rsid w:val="00EC05F7"/>
    <w:rsid w:val="00EE4B6E"/>
    <w:rsid w:val="00F2092C"/>
    <w:rsid w:val="00F412AE"/>
    <w:rsid w:val="00F44D1F"/>
    <w:rsid w:val="00FC795E"/>
    <w:rsid w:val="00FE7C31"/>
    <w:rsid w:val="01DD3C4D"/>
    <w:rsid w:val="022278B2"/>
    <w:rsid w:val="02E42DB9"/>
    <w:rsid w:val="0341645D"/>
    <w:rsid w:val="03E05C76"/>
    <w:rsid w:val="03E33071"/>
    <w:rsid w:val="04293179"/>
    <w:rsid w:val="053973EC"/>
    <w:rsid w:val="054E51F4"/>
    <w:rsid w:val="05D47115"/>
    <w:rsid w:val="0661309E"/>
    <w:rsid w:val="069468A4"/>
    <w:rsid w:val="07C02047"/>
    <w:rsid w:val="088C3CD7"/>
    <w:rsid w:val="08E6788B"/>
    <w:rsid w:val="092C7E4E"/>
    <w:rsid w:val="0A083831"/>
    <w:rsid w:val="0AC92FC0"/>
    <w:rsid w:val="0ACE58F0"/>
    <w:rsid w:val="0B6E5916"/>
    <w:rsid w:val="0BC419DA"/>
    <w:rsid w:val="0D423C21"/>
    <w:rsid w:val="0E8D2557"/>
    <w:rsid w:val="0ED9579C"/>
    <w:rsid w:val="0F5B32D6"/>
    <w:rsid w:val="121F5BBC"/>
    <w:rsid w:val="12744159"/>
    <w:rsid w:val="12A021D2"/>
    <w:rsid w:val="155142DE"/>
    <w:rsid w:val="166167A3"/>
    <w:rsid w:val="17215F32"/>
    <w:rsid w:val="174F2A9F"/>
    <w:rsid w:val="17F92A0B"/>
    <w:rsid w:val="18217C0B"/>
    <w:rsid w:val="1ACD08AB"/>
    <w:rsid w:val="1B1A48F6"/>
    <w:rsid w:val="1B3721C8"/>
    <w:rsid w:val="1B375D24"/>
    <w:rsid w:val="1BAA0BEC"/>
    <w:rsid w:val="1D774AFE"/>
    <w:rsid w:val="1FD42E37"/>
    <w:rsid w:val="21771570"/>
    <w:rsid w:val="21A97250"/>
    <w:rsid w:val="21E14C3C"/>
    <w:rsid w:val="2258091E"/>
    <w:rsid w:val="226C09A9"/>
    <w:rsid w:val="230961F8"/>
    <w:rsid w:val="23130E25"/>
    <w:rsid w:val="23767606"/>
    <w:rsid w:val="23EB3B50"/>
    <w:rsid w:val="24294678"/>
    <w:rsid w:val="24AF2DCF"/>
    <w:rsid w:val="25021151"/>
    <w:rsid w:val="257007B0"/>
    <w:rsid w:val="25DA20CE"/>
    <w:rsid w:val="2629095F"/>
    <w:rsid w:val="275E288B"/>
    <w:rsid w:val="27B32BD6"/>
    <w:rsid w:val="27CE17BE"/>
    <w:rsid w:val="27DA0163"/>
    <w:rsid w:val="27F05BD9"/>
    <w:rsid w:val="294407AD"/>
    <w:rsid w:val="29F179E6"/>
    <w:rsid w:val="2A9A1E2C"/>
    <w:rsid w:val="2BFE01E2"/>
    <w:rsid w:val="2C01537F"/>
    <w:rsid w:val="2D7545C2"/>
    <w:rsid w:val="2DBD47AF"/>
    <w:rsid w:val="2DE33AEA"/>
    <w:rsid w:val="2F05640D"/>
    <w:rsid w:val="2F0D454A"/>
    <w:rsid w:val="2F9E37AF"/>
    <w:rsid w:val="30986E0D"/>
    <w:rsid w:val="314B0324"/>
    <w:rsid w:val="315C7E3B"/>
    <w:rsid w:val="31C53C32"/>
    <w:rsid w:val="31DE6AA2"/>
    <w:rsid w:val="33DC1707"/>
    <w:rsid w:val="33E800AC"/>
    <w:rsid w:val="33EA7980"/>
    <w:rsid w:val="33F16F60"/>
    <w:rsid w:val="346F6DFC"/>
    <w:rsid w:val="35101668"/>
    <w:rsid w:val="359A7184"/>
    <w:rsid w:val="372B09DB"/>
    <w:rsid w:val="375C0B95"/>
    <w:rsid w:val="38A10829"/>
    <w:rsid w:val="38AC78FA"/>
    <w:rsid w:val="3B0E03F8"/>
    <w:rsid w:val="3B11613A"/>
    <w:rsid w:val="3C991F43"/>
    <w:rsid w:val="3D791D75"/>
    <w:rsid w:val="3E7E3AE6"/>
    <w:rsid w:val="3EEA2F2A"/>
    <w:rsid w:val="3F5B2265"/>
    <w:rsid w:val="3F6D76B7"/>
    <w:rsid w:val="405C1C05"/>
    <w:rsid w:val="40D75730"/>
    <w:rsid w:val="415F6454"/>
    <w:rsid w:val="41AF045B"/>
    <w:rsid w:val="43087E22"/>
    <w:rsid w:val="438070FC"/>
    <w:rsid w:val="44056110"/>
    <w:rsid w:val="45014B29"/>
    <w:rsid w:val="45BE6EBE"/>
    <w:rsid w:val="4779309D"/>
    <w:rsid w:val="488E4926"/>
    <w:rsid w:val="4A4554B8"/>
    <w:rsid w:val="4AFD3FE5"/>
    <w:rsid w:val="4BB74194"/>
    <w:rsid w:val="4C2A1D4B"/>
    <w:rsid w:val="4C687B84"/>
    <w:rsid w:val="4C765DFD"/>
    <w:rsid w:val="4C854292"/>
    <w:rsid w:val="4CD862F1"/>
    <w:rsid w:val="4D553C64"/>
    <w:rsid w:val="4D783DF7"/>
    <w:rsid w:val="4E9F6D7D"/>
    <w:rsid w:val="4EA8070C"/>
    <w:rsid w:val="4F2064F4"/>
    <w:rsid w:val="4F530677"/>
    <w:rsid w:val="500B2D00"/>
    <w:rsid w:val="50B415EA"/>
    <w:rsid w:val="50C57353"/>
    <w:rsid w:val="50CF3D2E"/>
    <w:rsid w:val="514F30C0"/>
    <w:rsid w:val="518A40F8"/>
    <w:rsid w:val="5248023B"/>
    <w:rsid w:val="52756B57"/>
    <w:rsid w:val="53163E96"/>
    <w:rsid w:val="53A5521A"/>
    <w:rsid w:val="547D1CF3"/>
    <w:rsid w:val="54E35FFA"/>
    <w:rsid w:val="55BE25C3"/>
    <w:rsid w:val="56552F27"/>
    <w:rsid w:val="56D95906"/>
    <w:rsid w:val="57664CC0"/>
    <w:rsid w:val="5A0D1524"/>
    <w:rsid w:val="5A13112F"/>
    <w:rsid w:val="5A5A0B0C"/>
    <w:rsid w:val="5A93401E"/>
    <w:rsid w:val="5AA4447D"/>
    <w:rsid w:val="5AB3646E"/>
    <w:rsid w:val="5B386973"/>
    <w:rsid w:val="5B3A26EB"/>
    <w:rsid w:val="5B590DC3"/>
    <w:rsid w:val="5BDE751B"/>
    <w:rsid w:val="5E070FAB"/>
    <w:rsid w:val="5F781A34"/>
    <w:rsid w:val="606F72DB"/>
    <w:rsid w:val="609603C4"/>
    <w:rsid w:val="6287090C"/>
    <w:rsid w:val="63133F4E"/>
    <w:rsid w:val="640B731B"/>
    <w:rsid w:val="664D3C1B"/>
    <w:rsid w:val="670544F5"/>
    <w:rsid w:val="677376B1"/>
    <w:rsid w:val="6844104D"/>
    <w:rsid w:val="689F6284"/>
    <w:rsid w:val="694A2693"/>
    <w:rsid w:val="69AC0C58"/>
    <w:rsid w:val="6B3727A3"/>
    <w:rsid w:val="6D9E6B0A"/>
    <w:rsid w:val="6EB5235D"/>
    <w:rsid w:val="6F011A46"/>
    <w:rsid w:val="6FC0720B"/>
    <w:rsid w:val="6FFD151C"/>
    <w:rsid w:val="70C847A6"/>
    <w:rsid w:val="720535FB"/>
    <w:rsid w:val="72693B8A"/>
    <w:rsid w:val="735C724B"/>
    <w:rsid w:val="74424470"/>
    <w:rsid w:val="74AA2238"/>
    <w:rsid w:val="754937FF"/>
    <w:rsid w:val="757840E4"/>
    <w:rsid w:val="759727BC"/>
    <w:rsid w:val="762D3121"/>
    <w:rsid w:val="76404C02"/>
    <w:rsid w:val="76D8308D"/>
    <w:rsid w:val="77C171C4"/>
    <w:rsid w:val="786372CE"/>
    <w:rsid w:val="794E7636"/>
    <w:rsid w:val="7A5D747F"/>
    <w:rsid w:val="7C5238E1"/>
    <w:rsid w:val="7D470F6C"/>
    <w:rsid w:val="7DB303AF"/>
    <w:rsid w:val="7F7DD7C6"/>
    <w:rsid w:val="7FC42C6F"/>
    <w:rsid w:val="7FDA60C7"/>
    <w:rsid w:val="9BD5CD09"/>
    <w:rsid w:val="F76F2FAD"/>
    <w:rsid w:val="FE5BD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普通(网站)1"/>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3</Pages>
  <Words>1082</Words>
  <Characters>1098</Characters>
  <Lines>9</Lines>
  <Paragraphs>2</Paragraphs>
  <TotalTime>9</TotalTime>
  <ScaleCrop>false</ScaleCrop>
  <LinksUpToDate>false</LinksUpToDate>
  <CharactersWithSpaces>1098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2022-11-02T02:52:00Z</dcterms:created>
  <dc:creator>闻博</dc:creator>
  <cp:lastModifiedBy>赵赵</cp:lastModifiedBy>
  <dcterms:modified xsi:type="dcterms:W3CDTF">2025-10-31T09:15:54Z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EE129EC111A241F9944FC0BF94C99BB5_13</vt:lpwstr>
  </property>
  <property fmtid="{D5CDD505-2E9C-101B-9397-08002B2CF9AE}" pid="4" name="KSOTemplateDocerSaveRecord">
    <vt:lpwstr>eyJoZGlkIjoiMzEwNTM5NzYwMDRjMzkwZTVkZjY2ODkwMGIxNGU0OTUiLCJ1c2VySWQiOiI3MDcyMjcxMTQifQ==</vt:lpwstr>
  </property>
</Properties>
</file>